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3B" w:rsidRPr="00680A3B" w:rsidRDefault="00680A3B" w:rsidP="00680A3B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МИНИСТЕРСТВО ЗДРАВООХРАНЕНИЯ РОССИЙСКОЙ ФЕДЕРАЦИИ</w:t>
      </w:r>
    </w:p>
    <w:p w:rsidR="00680A3B" w:rsidRPr="00680A3B" w:rsidRDefault="00680A3B" w:rsidP="00680A3B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ПРИКАЗ</w:t>
      </w:r>
    </w:p>
    <w:p w:rsidR="00680A3B" w:rsidRPr="00680A3B" w:rsidRDefault="00680A3B" w:rsidP="00680A3B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27 апреля 2021 года N 404н</w:t>
      </w:r>
      <w:r w:rsidRPr="00680A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 утверждении </w:t>
      </w:r>
      <w:hyperlink r:id="rId4" w:anchor="6540IN" w:history="1">
        <w:r w:rsidRPr="00680A3B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Порядка проведения профилактического медицинского осмотра и диспансеризации определенных гру</w:t>
        </w:r>
        <w:proofErr w:type="gramStart"/>
        <w:r w:rsidRPr="00680A3B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пп взр</w:t>
        </w:r>
        <w:proofErr w:type="gramEnd"/>
        <w:r w:rsidRPr="00680A3B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ослого населения</w:t>
        </w:r>
      </w:hyperlink>
    </w:p>
    <w:p w:rsidR="00680A3B" w:rsidRPr="00680A3B" w:rsidRDefault="00680A3B" w:rsidP="00680A3B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1 февраля 2022 года)</w:t>
      </w:r>
    </w:p>
    <w:p w:rsidR="00680A3B" w:rsidRPr="00680A3B" w:rsidRDefault="00680A3B" w:rsidP="00680A3B">
      <w:pPr>
        <w:spacing w:after="0" w:line="330" w:lineRule="atLeast"/>
        <w:textAlignment w:val="baseline"/>
        <w:rPr>
          <w:rFonts w:ascii="Arial" w:eastAsia="Times New Roman" w:hAnsi="Arial" w:cs="Arial"/>
          <w:color w:val="3451A0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3451A0"/>
          <w:sz w:val="24"/>
          <w:szCs w:val="24"/>
          <w:lang w:eastAsia="ru-RU"/>
        </w:rPr>
        <w:t>Информация об изменяющих документах</w:t>
      </w:r>
    </w:p>
    <w:p w:rsidR="00680A3B" w:rsidRPr="00680A3B" w:rsidRDefault="00680A3B" w:rsidP="00680A3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80A3B" w:rsidRPr="00680A3B" w:rsidRDefault="00680A3B" w:rsidP="00680A3B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80A3B" w:rsidRPr="00680A3B" w:rsidRDefault="00680A3B" w:rsidP="00680A3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 </w:t>
      </w:r>
      <w:hyperlink r:id="rId5" w:anchor="8Q80M1" w:history="1">
        <w:r w:rsidRPr="00680A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частью 7 статьи 46 Федерального закона от 21 ноября 2011 г. N 323-ФЗ "Об основах охраны здоровья граждан в Российской Федерации"</w:t>
        </w:r>
      </w:hyperlink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2011, N 48, ст.6724; 2016, N 27, ст.4219)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приказываю: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порядок проведения профилактического медицинского осмотра и диспансеризации определенных гру</w:t>
      </w:r>
      <w:proofErr w:type="gram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пп взр</w:t>
      </w:r>
      <w:proofErr w:type="gramEnd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ослого населения согласно </w:t>
      </w:r>
      <w:hyperlink r:id="rId6" w:anchor="6540IN" w:history="1">
        <w:r w:rsidRPr="00680A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приложению</w:t>
        </w:r>
      </w:hyperlink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Признать утратившими силу: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7" w:anchor="7D20K3" w:history="1">
        <w:r w:rsidRPr="00680A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 Министерства здравоохранения Российской Федерации от 13 марта 2019 г. N 124н "Об утверждении порядка проведения профилактического медицинского осмотра и диспансеризации определенных гру</w:t>
        </w:r>
        <w:proofErr w:type="gramStart"/>
        <w:r w:rsidRPr="00680A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пп взр</w:t>
        </w:r>
        <w:proofErr w:type="gramEnd"/>
        <w:r w:rsidRPr="00680A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ослого населения"</w:t>
        </w:r>
      </w:hyperlink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Министерством юстиции Российской Федерации 24 апреля 2019 г., регистрационный N 54495);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8" w:anchor="7D20K3" w:history="1">
        <w:proofErr w:type="gramStart"/>
        <w:r w:rsidRPr="00680A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 Министерства здравоохранения Российской Федерации от 2 сентября 2019 г. N 716н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</w:t>
        </w:r>
      </w:hyperlink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Министерством юстиции Российской Федерации 16 октября 2019 г. N 56254);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9" w:anchor="64U0IK" w:history="1">
        <w:proofErr w:type="gramStart"/>
        <w:r w:rsidRPr="00680A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 Министерства здравоохранения Российской Федерации от 2 декабря 2020 г. N 1278н "О внесении изменений в Порядок проведения профилактического </w:t>
        </w:r>
        <w:r w:rsidRPr="00680A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lastRenderedPageBreak/>
          <w:t>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</w:t>
        </w:r>
      </w:hyperlink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Министерством юстиции Российской Федерации 22 декабря 2020 г. N 61693).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Настоящий приказ вступает в силу с 1 июля 2021 г. и действует до 1 июля 2027 г.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Министр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М.А.Мурашко</w:t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Зарегистрировано</w:t>
      </w:r>
    </w:p>
    <w:p w:rsidR="00680A3B" w:rsidRPr="00680A3B" w:rsidRDefault="00680A3B" w:rsidP="00680A3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Министерстве юстиции</w:t>
      </w:r>
    </w:p>
    <w:p w:rsidR="00680A3B" w:rsidRPr="00680A3B" w:rsidRDefault="00680A3B" w:rsidP="00680A3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Российской Федерации</w:t>
      </w:r>
    </w:p>
    <w:p w:rsidR="00680A3B" w:rsidRPr="00680A3B" w:rsidRDefault="00680A3B" w:rsidP="00680A3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30 июня 2021 года,</w:t>
      </w:r>
    </w:p>
    <w:p w:rsidR="00680A3B" w:rsidRPr="00680A3B" w:rsidRDefault="00680A3B" w:rsidP="00680A3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регистрационный N 64042</w:t>
      </w:r>
    </w:p>
    <w:p w:rsidR="00680A3B" w:rsidRPr="00680A3B" w:rsidRDefault="00680A3B" w:rsidP="00680A3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680A3B" w:rsidRPr="00680A3B" w:rsidRDefault="00680A3B" w:rsidP="00680A3B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</w:t>
      </w:r>
      <w:r w:rsidRPr="00680A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приказу Министерства здравоохранения</w:t>
      </w:r>
      <w:r w:rsidRPr="00680A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Российской Федерации</w:t>
      </w:r>
      <w:r w:rsidRPr="00680A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27 апреля 2021 года N 404н</w:t>
      </w:r>
    </w:p>
    <w:p w:rsidR="00680A3B" w:rsidRPr="00680A3B" w:rsidRDefault="00680A3B" w:rsidP="00680A3B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</w:p>
    <w:p w:rsidR="00680A3B" w:rsidRPr="00680A3B" w:rsidRDefault="00680A3B" w:rsidP="00680A3B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Порядок проведения профилактического медицинского осмотра и диспансеризации определенных гру</w:t>
      </w:r>
      <w:proofErr w:type="gramStart"/>
      <w:r w:rsidRPr="00680A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пп взр</w:t>
      </w:r>
      <w:proofErr w:type="gramEnd"/>
      <w:r w:rsidRPr="00680A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ослого населения</w:t>
      </w:r>
    </w:p>
    <w:p w:rsidR="00680A3B" w:rsidRPr="00680A3B" w:rsidRDefault="00680A3B" w:rsidP="00680A3B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1 февраля 2022 года)</w:t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</w:t>
      </w:r>
      <w:proofErr w:type="gram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пп взр</w:t>
      </w:r>
      <w:proofErr w:type="gramEnd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ослого населения (в возрасте от 18 лет и старше):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работающие граждане;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неработающие граждане;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3) </w:t>
      </w:r>
      <w:proofErr w:type="gram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обучающиеся</w:t>
      </w:r>
      <w:proofErr w:type="gramEnd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образовательных организациях по очной форме.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Настоящий порядок не применяется в случаях, когда законодательными и иными нормативными правовыми актами Российской Федерации установлен иной 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порядок проведения профилактического медицинского осмотра или диспансеризации отдельных категорий граждан.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.75pt;height:17.25pt"/>
        </w:pic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680A3B" w:rsidRPr="00680A3B" w:rsidRDefault="00680A3B" w:rsidP="00680A3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26" type="#_x0000_t75" alt="" style="width:6.75pt;height:17.25pt"/>
        </w:pic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10" w:anchor="8PU0LU" w:history="1">
        <w:r w:rsidRPr="00680A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4 статьи 46 Федерального закона от 21 ноября 2011 г. N 323-ФЗ "Об основах охраны здоровья граждан в Российской Федерации"</w:t>
        </w:r>
      </w:hyperlink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2011, N 48, ст.6724; 2016, N 27, ст.4219) (далее - Федеральный закон N 323-ФЗ).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Медицинские мероприятия, проводимые в рамках настоящего порядка, направлены </w:t>
      </w:r>
      <w:proofErr w:type="gram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proofErr w:type="gramEnd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</w:t>
      </w:r>
      <w:proofErr w:type="spell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гиперхолестеринемию</w:t>
      </w:r>
      <w:proofErr w:type="spellEnd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</w:t>
      </w:r>
      <w:proofErr w:type="gramEnd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также риска потребления наркотических средств и психотропных веществ без назначения врача;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</w:t>
      </w:r>
      <w:proofErr w:type="spellStart"/>
      <w:proofErr w:type="gram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сердечно-сосудистым</w:t>
      </w:r>
      <w:proofErr w:type="spellEnd"/>
      <w:proofErr w:type="gramEnd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риском.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Профилактический медицинский осмотр проводится ежегодно: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в качестве самостоятельного мероприятия;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в рамках диспансеризации;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в рамках диспансерного наблюдения (при проведении первого в текущем году диспансерного приема (осмотра, консультации).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Диспансеризация проводится: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1 раз в три года в возрасте от 18 до 39 лет включительно;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ежегодно в возрасте 40 лет и старше, а также в отношении отдельных категорий граждан, включая: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27" type="#_x0000_t75" alt="" style="width:8.25pt;height:17.25pt"/>
        </w:pic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680A3B" w:rsidRPr="00680A3B" w:rsidRDefault="00680A3B" w:rsidP="00680A3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28" type="#_x0000_t75" alt="" style="width:8.25pt;height:17.25pt"/>
        </w:pic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proofErr w:type="gram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со </w:t>
      </w:r>
      <w:hyperlink r:id="rId11" w:anchor="7DA0K6" w:history="1">
        <w:r w:rsidRPr="00680A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статьей 4</w:t>
        </w:r>
      </w:hyperlink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2" w:anchor="8PC0LS" w:history="1">
        <w:r w:rsidRPr="00680A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подпунктом 11 пункта 1 статьи 14</w:t>
        </w:r>
      </w:hyperlink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13" w:anchor="7DU0KB" w:history="1">
        <w:r w:rsidRPr="00680A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пунктом 2 статьи 15 Федерального закона от 12 января 1995 г. N 5-ФЗ "О ветеранах"</w:t>
        </w:r>
      </w:hyperlink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1995, N 3, ст.168; 2004, N 35, ст.3607; 2016, N 22, ст.3097; 2019, N 40, ст.5488) (далее - Федеральный закон N 5-ФЗ).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лиц, награжденных знаком "Жителю блокадного Ленинграда", лиц, награжденных знаком "Житель осажденного Севастополя"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29" type="#_x0000_t75" alt="" style="width:8.25pt;height:17.25pt"/>
        </w:pic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680A3B" w:rsidRPr="00680A3B" w:rsidRDefault="00680A3B" w:rsidP="00680A3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30" type="#_x0000_t75" alt="" style="width:8.25pt;height:17.25pt"/>
        </w:pic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В соответствии с </w:t>
      </w:r>
      <w:hyperlink r:id="rId14" w:anchor="8PG0LR" w:history="1">
        <w:r w:rsidRPr="00680A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подпунктом 1 пункта 2 статьи 18 Федерального закона N 5-ФЗ</w:t>
        </w:r>
      </w:hyperlink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1995, N 3, ст.168; 2016, N 22, ст.3097).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31" type="#_x0000_t75" alt="" style="width:8.25pt;height:17.25pt"/>
        </w:pic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680A3B" w:rsidRPr="00680A3B" w:rsidRDefault="00680A3B" w:rsidP="00680A3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32" type="#_x0000_t75" alt="" style="width:8.25pt;height:17.25pt"/>
        </w:pic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proofErr w:type="gram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 </w:t>
      </w:r>
      <w:hyperlink r:id="rId15" w:anchor="BRE0PB" w:history="1">
        <w:r w:rsidRPr="00680A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частью 8 статьи 154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</w:t>
        </w:r>
        <w:proofErr w:type="gramEnd"/>
        <w:r w:rsidRPr="00680A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Федерации" и "Об общих принципах организации местного самоуправления в Российской Федерации"</w:t>
        </w:r>
      </w:hyperlink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2004, N 35, ст.3607; 2018, N 11, ст.1591).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33" type="#_x0000_t75" alt="" style="width:8.25pt;height:17.25pt"/>
        </w:pic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680A3B" w:rsidRPr="00680A3B" w:rsidRDefault="00680A3B" w:rsidP="00680A3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34" type="#_x0000_t75" alt="" style="width:8.25pt;height:17.25pt"/>
        </w:pic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В соответствии со </w:t>
      </w:r>
      <w:hyperlink r:id="rId16" w:anchor="AA40NQ" w:history="1">
        <w:r w:rsidRPr="00680A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статьей 185.1 Трудового кодекса Российской Федерации</w:t>
        </w:r>
      </w:hyperlink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2002, N 1, ст.3; 2020, N 31, ст.5020).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Годом прохождения диспансеризации считается календарный год, в котором гражданин достигает соответствующего возраста.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 </w:t>
      </w:r>
      <w:hyperlink r:id="rId17" w:anchor="7DQ0K9" w:history="1">
        <w:r w:rsidRPr="00680A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пунктами 16-18 настоящего порядка</w:t>
        </w:r>
      </w:hyperlink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18" w:anchor="8OQ0LO" w:history="1">
        <w:r w:rsidRPr="00680A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приложениями N 1</w:t>
        </w:r>
      </w:hyperlink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19" w:anchor="8P40LT" w:history="1">
        <w:r w:rsidRPr="00680A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N 2 к настоящему порядку</w:t>
        </w:r>
      </w:hyperlink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дополнение к профилактическим медицинским осмотрам и диспансеризации граждане, переболевшие новой </w:t>
      </w:r>
      <w:proofErr w:type="spell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коронавирусной</w:t>
      </w:r>
      <w:proofErr w:type="spellEnd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инфекцией (COVID-19), проходят углубленную диспансеризацию, включающую исследования 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и иные медицинские вмешательства в соответствии с перечнем исследований и иных медицинских вмешательств, проводимых в рамках углубленной диспансеризации, установленным программой государственных гарантий бесплатного оказания гражданам медицинской помощи на соответствующий год и плановый период (далее - углубленная диспансеризация).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</w:t>
      </w:r>
      <w:proofErr w:type="spell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коронавирусной</w:t>
      </w:r>
      <w:proofErr w:type="spellEnd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инфекцией (COVID-19).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использования в медицинской организации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органы исполнительной власти субъектов Российской Федерации в сфере охраны здоровья предоставляют гражданам возможность прохождения опроса (анкетирования), получения информации о целях и объемах профилактических медицинских осмотров и диспансеризации, записи на приемы (осмотры, консультации) медицинскими работниками, исследования и иные медицинские вмешательства</w:t>
      </w:r>
      <w:proofErr w:type="gramEnd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gram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проводимые в рамках профилактических медицинских осмотров и диспансеризации, информирования о порядке прохождения медицинского осмотра и диспансеризации и последовательности приемов (осмотров, консультаций) медицинскими работниками, исследований и иных медицинских вмешательств, в том числе посредством использования федеральной государственной информационной системы "Единый портал государственных и муниципальных услуг (функций)" и иных информационных систем, предусмотренных </w:t>
      </w:r>
      <w:hyperlink r:id="rId20" w:anchor="BOE0OQ" w:history="1">
        <w:r w:rsidRPr="00680A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частью 5 статьи 91 Федерального закона N 323-ФЗ</w:t>
        </w:r>
      </w:hyperlink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Профилактический медицинский осмотр и первый этап диспансеризации рекомендуется проводить в течение одного рабочего дня.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диспансеризацию.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9. </w:t>
      </w:r>
      <w:proofErr w:type="gram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Профилактический медицинский осмотр и диспансеризация осуществляются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(услуги) по "медицинским осмотрам профилактическим", "терапии" или "общей врачебной практике (семейной медицине)", "акушерству и гинекологии" (для лицензий на осуществление медицинской деятельности, выданных до вступления в силу </w:t>
      </w:r>
      <w:hyperlink r:id="rId21" w:history="1">
        <w:r w:rsidRPr="00680A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Российской Федерации от 16</w:t>
        </w:r>
        <w:proofErr w:type="gramEnd"/>
        <w:r w:rsidRPr="00680A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680A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  </w:r>
        <w:proofErr w:type="spellStart"/>
        <w:r w:rsidRPr="00680A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Сколково</w:t>
        </w:r>
        <w:proofErr w:type="spellEnd"/>
        <w:r w:rsidRPr="00680A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")"</w:t>
        </w:r>
      </w:hyperlink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35" type="#_x0000_t75" alt="" style="width:8.25pt;height:17.25pt"/>
        </w:pic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или "акушерству и гинекологии (за исключением использования вспомогательных репродуктивных технологий)", "акушерству и гинекологии (за исключением использования вспомогательных репродуктивных технологий и искусственного прерывания беременности)", "акушерскому делу" или "лечебному делу", "офтальмологии", "неврологии", "оториноларингологии</w:t>
      </w:r>
      <w:proofErr w:type="gramEnd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proofErr w:type="gram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за исключением </w:t>
      </w:r>
      <w:proofErr w:type="spell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кохлеарной</w:t>
      </w:r>
      <w:proofErr w:type="spellEnd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имплантации)", "хирургии" или "</w:t>
      </w:r>
      <w:proofErr w:type="spell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колопроктологии</w:t>
      </w:r>
      <w:proofErr w:type="spellEnd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", "рентгенологии", "клинической лабораторной диагностике" или "лабораторной диагностике", "функциональной диагностике", "ультразвуковой диагностике", "урологии", "эндоскопии".</w:t>
      </w:r>
      <w:proofErr w:type="gramEnd"/>
    </w:p>
    <w:p w:rsidR="00680A3B" w:rsidRPr="00680A3B" w:rsidRDefault="00680A3B" w:rsidP="00680A3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36" type="#_x0000_t75" alt="" style="width:8.25pt;height:17.25pt"/>
        </w:pic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Собрание законодательства Российской Федерации, 2012, N 17, ст.1965; 2020, N 49. ст.7934.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помощь.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отсутствии в населенном пункте, в котором проживает гражданин старше 65 лет, медицинской организации, в которой могут быть проведены профилактический медицинский осмотр или диспансеризация, может осуществляться перевозка гражданина в медицинскую организацию в рамках мер социальной поддержки, предусмотренных в субъекте Российской Федерации в соответствии с </w:t>
      </w:r>
      <w:hyperlink r:id="rId22" w:anchor="7D20K3" w:history="1">
        <w:r w:rsidRPr="00680A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Федеральным законом от 6 октября 1999 г. N 184-ФЗ "Об общих </w:t>
        </w:r>
        <w:r w:rsidRPr="00680A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lastRenderedPageBreak/>
          <w:t>принципах организации законодательных (представительных) и</w:t>
        </w:r>
        <w:proofErr w:type="gramEnd"/>
        <w:r w:rsidRPr="00680A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исполнительных органов государственной власти субъектов Российской Федерации"</w:t>
        </w:r>
      </w:hyperlink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37" type="#_x0000_t75" alt="" style="width:8.25pt;height:17.25pt"/>
        </w:pic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680A3B" w:rsidRPr="00680A3B" w:rsidRDefault="00680A3B" w:rsidP="00680A3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38" type="#_x0000_t75" alt="" style="width:8.25pt;height:17.25pt"/>
        </w:pic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Собрание законодательства Российской Федерации, 1999, N 42, ст.5005; 2021, N 22, ст.3690.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осмотра (диспансеризации) в соответствии с </w:t>
      </w:r>
      <w:hyperlink r:id="rId23" w:anchor="6560IO" w:history="1">
        <w:r w:rsidRPr="00680A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Порядком выдачи медицинскими организациями справок и медицинских заключений</w:t>
        </w:r>
      </w:hyperlink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утвержденным </w:t>
      </w:r>
      <w:hyperlink r:id="rId24" w:anchor="64U0IK" w:history="1">
        <w:r w:rsidRPr="00680A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Министерства здравоохранения Российской Федерации от 14 сентября 2020 г. N 972н</w:t>
        </w:r>
      </w:hyperlink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39" type="#_x0000_t75" alt="" style="width:8.25pt;height:17.25pt"/>
        </w:pic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680A3B" w:rsidRPr="00680A3B" w:rsidRDefault="00680A3B" w:rsidP="00680A3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40" type="#_x0000_t75" alt="" style="width:8.25pt;height:17.25pt"/>
        </w:pic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Зарегистрирован Министерством юстиции Российской Федерации 4 декабря 2020 г., регистрационный N 61261.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 </w:t>
      </w:r>
      <w:hyperlink r:id="rId25" w:anchor="8P40LT" w:history="1">
        <w:r w:rsidRPr="00680A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статьей 20 Федерального закона N 323-ФЗ</w:t>
        </w:r>
      </w:hyperlink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12. Руководитель медицинской организации, медицинские работники отделения (кабинета)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году, или их законных представителей о возможности прохождения профилактического медицинского осмотра и (или) диспансеризации в соответствии с </w:t>
      </w:r>
      <w:hyperlink r:id="rId26" w:anchor="6520IM" w:history="1">
        <w:r w:rsidRPr="00680A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Правилами обязательного медицинского страхования</w:t>
        </w:r>
      </w:hyperlink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утвержденными </w:t>
      </w:r>
      <w:hyperlink r:id="rId27" w:history="1">
        <w:r w:rsidRPr="00680A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Министерства здравоохранения Российской Федерации </w:t>
        </w:r>
        <w:r w:rsidRPr="00680A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lastRenderedPageBreak/>
          <w:t>от 28 февраля 2019 г. N</w:t>
        </w:r>
        <w:proofErr w:type="gramEnd"/>
        <w:r w:rsidRPr="00680A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108н</w:t>
        </w:r>
      </w:hyperlink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(далее - Правила обязательного медицинского страхования)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41" type="#_x0000_t75" alt="" style="width:8.25pt;height:17.25pt"/>
        </w:pic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680A3B" w:rsidRPr="00680A3B" w:rsidRDefault="00680A3B" w:rsidP="00680A3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42" type="#_x0000_t75" alt="" style="width:8.25pt;height:17.25pt"/>
        </w:pic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proofErr w:type="gram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Зарегистрирован Министерством юстиции Российской Федерации 17 мая 2019 г., регистрационный N 54643, с изменениями, внесенными </w:t>
      </w:r>
      <w:hyperlink r:id="rId28" w:anchor="64U0IK" w:history="1">
        <w:r w:rsidRPr="00680A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приказами Министерства здравоохранения Российской Федерации от 9 апреля 2020 г. N 299н</w:t>
        </w:r>
      </w:hyperlink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Министерством юстиции Российской Федерации 14 апреля 2020 г., регистрационный N 58074), </w:t>
      </w:r>
      <w:hyperlink r:id="rId29" w:anchor="64U0IK" w:history="1">
        <w:r w:rsidRPr="00680A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25 сентября 2020 г. N 1024н</w:t>
        </w:r>
      </w:hyperlink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Министерством юстиции Российской Федерации 14 октября 2020 г., регистрационный N 60369), </w:t>
      </w:r>
      <w:hyperlink r:id="rId30" w:anchor="7D20K3" w:history="1">
        <w:r w:rsidRPr="00680A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10</w:t>
        </w:r>
        <w:proofErr w:type="gramEnd"/>
        <w:r w:rsidRPr="00680A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февраля 2021 г. N 65н</w:t>
        </w:r>
      </w:hyperlink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Министерством юстиции Российской Федерации 17 марта 2021 г., регистрационный N 62797), </w:t>
      </w:r>
      <w:hyperlink r:id="rId31" w:anchor="7D20K3" w:history="1">
        <w:r w:rsidRPr="00680A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26 марта 2021 г. N 254н</w:t>
        </w:r>
      </w:hyperlink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Министерством юстиции Российской Федерации 22 апреля 2021 г., регистрационный N 63210).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Врач-терапевт (врач-терапевт участковый, врач-терапевт цехового врачебного участка, врач общей практики (семейный врач) (далее - врач-терапевт) является ответственным за организацию и 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(семейного врача), обслуживаемой территории (далее - участок).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Фельдшер фельдшерского здравпункта или фельдшерско-акушерского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диспансеризации, в порядке, установленном </w:t>
      </w:r>
      <w:hyperlink r:id="rId32" w:history="1">
        <w:r w:rsidRPr="00680A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Министерства здравоохранения и социального развития</w:t>
        </w:r>
        <w:proofErr w:type="gramEnd"/>
        <w:r w:rsidRPr="00680A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680A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</w:t>
        </w:r>
        <w:proofErr w:type="gramEnd"/>
        <w:r w:rsidRPr="00680A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и психотропные лекарственные препараты"</w:t>
        </w:r>
      </w:hyperlink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43" type="#_x0000_t75" alt="" style="width:12pt;height:17.25pt"/>
        </w:pic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680A3B" w:rsidRPr="00680A3B" w:rsidRDefault="00680A3B" w:rsidP="00680A3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44" type="#_x0000_t75" alt="" style="width:12pt;height:17.25pt"/>
        </w:pic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Зарегистрирован Министерством юстиции Российской Федерации 28 апреля 2012 г., регистрационный N 23971, с изменениями, внесенными </w:t>
      </w:r>
      <w:hyperlink r:id="rId33" w:history="1">
        <w:r w:rsidRPr="00680A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Министерства здравоохранения Российской Федерации от 31 октября 2017 г. N 882н</w:t>
        </w:r>
      </w:hyperlink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(зарегистрирован Министерством юстиции Российской Федерации 9 января 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2018 г., регистрационный N 49561).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13. Основными задачами фельдшера фельдшерского здравпункта или фельдшерско-акушерского пункта при организации и проведении профилактического медицинского осмотра и диспансеризации являются: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привлечение населения, прикрепленного к фельдшерскому участку, к прохождению профилактического медицинского осмотра и диспансеризации, информирование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</w:t>
      </w:r>
      <w:proofErr w:type="gramEnd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семьи;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опроса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опросе (анкетировании) (далее - анкетирование);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расчета на основании антропометрии (измерение роста, массы тела, окружности талии) индекса массы тела;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измерения артериального давления на периферических артериях;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определения уровня общего холестерина в крови;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определения уровня глюкозы в крови натощак;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электрокардиографии в покое;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измерения внутриглазного давления;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осмотра фельдшером (акушеркой) и (или) взятия мазка с шейки матки в рамках проведения скрининга, направленного на раннее выявление 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онкологических заболеваний, согласно </w:t>
      </w:r>
      <w:hyperlink r:id="rId34" w:anchor="8P40LT" w:history="1">
        <w:r w:rsidRPr="00680A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приложению N 2 к настоящему порядку</w:t>
        </w:r>
      </w:hyperlink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 </w:t>
      </w:r>
      <w:hyperlink r:id="rId35" w:anchor="8OU0LO" w:history="1">
        <w:r w:rsidRPr="00680A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приложением N 3 к настоящему порядку</w:t>
        </w:r>
      </w:hyperlink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определения относительного </w:t>
      </w:r>
      <w:proofErr w:type="spellStart"/>
      <w:proofErr w:type="gram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сердечно-сосудистого</w:t>
      </w:r>
      <w:proofErr w:type="spellEnd"/>
      <w:proofErr w:type="gramEnd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риска у граждан в возрасте от 18 до 39 лет включительно и абсолютного </w:t>
      </w:r>
      <w:proofErr w:type="spell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сердечно-сосудистого</w:t>
      </w:r>
      <w:proofErr w:type="spellEnd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риска у граждан в возрасте от 40 до 64 лет включительно, не имеющих </w:t>
      </w:r>
      <w:proofErr w:type="spell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сердечно-сосудистых</w:t>
      </w:r>
      <w:proofErr w:type="spellEnd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заболеваний атеросклеротического генеза, сахарного диабета второго типа и хронической болезни почек;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приема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проведения краткого индивидуального профилактического консультирования в рамках первого этапа диспансеризации;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 </w:t>
      </w:r>
      <w:hyperlink r:id="rId36" w:anchor="7DQ0KC" w:history="1">
        <w:r w:rsidRPr="00680A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подпункте 3 настоящего пункта</w:t>
        </w:r>
      </w:hyperlink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профилактики или центра</w:t>
      </w:r>
      <w:proofErr w:type="gramEnd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здоровья в объеме, предусмотренном в </w:t>
      </w:r>
      <w:hyperlink r:id="rId37" w:anchor="7E20KC" w:history="1">
        <w:r w:rsidRPr="00680A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подпункте 12 пункта 16 настоящего порядка</w:t>
        </w:r>
      </w:hyperlink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5) разъяснение пациентам с факторами риска хронических неинфекционных заболеваний мер по их снижению, а пациентам с высоким и очень высоким абсолютным </w:t>
      </w:r>
      <w:proofErr w:type="spell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сердечно-сосудистым</w:t>
      </w:r>
      <w:proofErr w:type="spellEnd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</w:t>
      </w:r>
      <w:proofErr w:type="gramEnd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минут от начала появления симптомов) вызова бригады скорой медицинской помощи;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подведение итогов проведения профилактического медицинского осмотра и диспансеризации на фельдшерском участке;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7) формирование комплекта документов, заполнение карты учета профилактического медицинского осмотра (диспансеризации) по </w:t>
      </w:r>
      <w:hyperlink r:id="rId38" w:anchor="6540IN" w:history="1">
        <w:r w:rsidRPr="00680A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форме</w:t>
        </w:r>
      </w:hyperlink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утвержденной </w:t>
      </w:r>
      <w:hyperlink r:id="rId39" w:anchor="7D20K3" w:history="1">
        <w:r w:rsidRPr="00680A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Министерства здравоохранения Российской Федерации от 10 ноября 2020 г. N 1207н</w:t>
        </w:r>
      </w:hyperlink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45" type="#_x0000_t75" alt="" style="width:11.25pt;height:17.25pt"/>
        </w:pic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(далее - карта учета диспансеризации);</w:t>
      </w:r>
    </w:p>
    <w:p w:rsidR="00680A3B" w:rsidRPr="00680A3B" w:rsidRDefault="00680A3B" w:rsidP="00680A3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46" type="#_x0000_t75" alt="" style="width:11.25pt;height:17.25pt"/>
        </w:pic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Зарегистрирован Министерством юстиции Российской Федерации 11 января 2021 г., регистрационный N 62033.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информирование граждан о возможности медицинского освидетельствования для выявления ВИЧ-инфекции в соответствии со </w:t>
      </w:r>
      <w:hyperlink r:id="rId40" w:anchor="7DC0K6" w:history="1">
        <w:r w:rsidRPr="00680A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статьей 7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</w:t>
        </w:r>
      </w:hyperlink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(далее - Федеральный закон N 38-ФЗ)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47" type="#_x0000_t75" alt="" style="width:12pt;height:17.25pt"/>
        </w:pic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 предоставлением адресов медицинских организаций, в которых возможно осуществить добровольное, в том числе анонимное, медицинское освидетельствование для выявления ВИЧ-инфекции.</w:t>
      </w:r>
      <w:proofErr w:type="gramEnd"/>
    </w:p>
    <w:p w:rsidR="00680A3B" w:rsidRPr="00680A3B" w:rsidRDefault="00680A3B" w:rsidP="00680A3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48" type="#_x0000_t75" alt="" style="width:12pt;height:17.25pt"/>
        </w:pic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Собрание законодательства Российской Федерации, 1995, N 14, ст.1212; 2013, N 48, ст.6165.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14. Основными задачами врача-терапевта при организации и проведении профилактического медицинского осмотра и диспансеризации являются: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</w:t>
      </w:r>
      <w:proofErr w:type="gramEnd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семьи;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прием (осмотр) по результатам профилактического медицинского осмотра, в том числе граждан, направленных в соответствии с </w:t>
      </w:r>
      <w:hyperlink r:id="rId41" w:anchor="7DS0KD" w:history="1">
        <w:r w:rsidRPr="00680A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подпунктом 4 пункта 13</w:t>
        </w:r>
      </w:hyperlink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42" w:anchor="7DU0KC" w:history="1">
        <w:r w:rsidRPr="00680A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подпунктом 6 пункта 15 настоящего порядка</w:t>
        </w:r>
      </w:hyperlink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в объеме, предусмотренном в </w:t>
      </w:r>
      <w:hyperlink r:id="rId43" w:anchor="7E20KC" w:history="1">
        <w:r w:rsidRPr="00680A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подпункте 12 пункта 16 настоящего порядка</w:t>
        </w:r>
      </w:hyperlink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</w:t>
      </w:r>
      <w:proofErr w:type="gramEnd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второго этапа диспансеризации, а также прием (осмотр) по результатам второго этапа диспансеризации в объеме, предусмотренном в </w:t>
      </w:r>
      <w:hyperlink r:id="rId44" w:anchor="8OM0LO" w:history="1">
        <w:r w:rsidRPr="00680A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подпункте 13 пункта 18 настоящего порядка</w:t>
        </w:r>
      </w:hyperlink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3) 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</w:t>
      </w:r>
      <w:proofErr w:type="spell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сердечно-сосудистым</w:t>
      </w:r>
      <w:proofErr w:type="spellEnd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</w:t>
      </w:r>
      <w:proofErr w:type="gramEnd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 мин от начала появления симптомов) вызова бригады скорой медицинской помощи;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подведение итогов проведения профилактического медицинского осмотра и диспансеризации на участке;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информирование граждан о возможности медицинского освидетельствования для выявления ВИЧ-инфекции в соответствии со </w:t>
      </w:r>
      <w:hyperlink r:id="rId45" w:anchor="7DC0K6" w:history="1">
        <w:r w:rsidRPr="00680A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статьей 7 Федерального закона N 38-ФЗ</w:t>
        </w:r>
      </w:hyperlink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15. Основными задачами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диспансеризации являются: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составление плана проведения профилактического медицинского осмотра и диспансеризации в текущем календарном году (ежемесячного, ежедекадного);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осмотра и диспансеризации, их целях, а также в проведении разъяснительной работы и мотивировании граждан к прохождению профилактического медицинского осмотра, диспансеризации;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анкетирования;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расчета на основании антропометрии (измерение роста, массы тела, окружности талии) индекса массы тела;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измерения артериального давления на периферических артериях;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определения уровня общего холестерина в крови;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определения уровня глюкозы в крови натощак;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измерения внутриглазного давления;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 </w:t>
      </w:r>
      <w:hyperlink r:id="rId46" w:anchor="8OU0LO" w:history="1">
        <w:r w:rsidRPr="00680A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приложением N 3 к настоящему порядку</w:t>
        </w:r>
      </w:hyperlink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определения относительного </w:t>
      </w:r>
      <w:proofErr w:type="spellStart"/>
      <w:proofErr w:type="gram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сердечно-сосудистого</w:t>
      </w:r>
      <w:proofErr w:type="spellEnd"/>
      <w:proofErr w:type="gramEnd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риска у граждан в возрасте от 18 до 39 лет включительно, и абсолютного </w:t>
      </w:r>
      <w:proofErr w:type="spell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сердечно-сосудистого</w:t>
      </w:r>
      <w:proofErr w:type="spellEnd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риска у граждан в возрасте от 40 до 64 лет включительно, не имеющих сердечнососудистых заболеваний атеросклеротического генеза, сахарного диабета второго типа и хронической болезни почек;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приема (осмотра) по результатам профилактического медицинского осмотра в объеме, предусмотренном в </w:t>
      </w:r>
      <w:hyperlink r:id="rId47" w:anchor="7E20KC" w:history="1">
        <w:r w:rsidRPr="00680A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подпункте 12 пункта 16 настоящего порядка</w:t>
        </w:r>
      </w:hyperlink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проведения краткого индивидуального профилактического консультирования в рамках профилактического медицинского осмотра и первого этапа диспансеризации, а также углубленного профилактического консультирования в рамках второго этапа диспансеризации.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 </w:t>
      </w:r>
      <w:hyperlink r:id="rId48" w:anchor="7DQ0KA" w:history="1">
        <w:r w:rsidRPr="00680A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подпункте 4 настоящего пункта</w:t>
        </w:r>
      </w:hyperlink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7) разъяснение пациентам с факторами риска хронических неинфекционных заболеваний мер по их снижению, а пациентам с высоким и очень высоким 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абсолютным </w:t>
      </w:r>
      <w:proofErr w:type="spell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сердечно-сосудистым</w:t>
      </w:r>
      <w:proofErr w:type="spellEnd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</w:t>
      </w:r>
      <w:proofErr w:type="gramEnd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мин от начала появления симптомов) вызова бригады скорой медицинской помощи;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формирование комплекта документов, заполнение </w:t>
      </w:r>
      <w:hyperlink r:id="rId49" w:anchor="6540IN" w:history="1">
        <w:r w:rsidRPr="00680A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карты учета диспансеризации</w:t>
        </w:r>
      </w:hyperlink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9) заполнение форм статистической отчетности, используемых при проведении профилактического медицинского осмотра и диспансеризации;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10) подведение итогов проведения профилактического медицинского осмотра и диспансеризации в медицинской организации;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11) информирование граждан о возможности медицинского освидетельствования для выявления ВИЧ-инфекции в соответствии со </w:t>
      </w:r>
      <w:hyperlink r:id="rId50" w:anchor="7DC0K6" w:history="1">
        <w:r w:rsidRPr="00680A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статьей 7 Федерального закона N 38-ФЗ</w:t>
        </w:r>
      </w:hyperlink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16. Профилактический медицинский осмотр включает в себя: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анкетирование граждан в возрасте 18 лет и старше 1 раз в год в целях: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</w:t>
      </w:r>
      <w:proofErr w:type="spell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обструктивной</w:t>
      </w:r>
      <w:proofErr w:type="spellEnd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болезни легких, заболеваний желудочно-кишечного тракта;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 проведение для лиц с выявленными факторами риска краткого индивидуального профилактического консультирования в отделении (кабинете) медицинской профилактики, центре здоровья и (или) врачом-терапевтом;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выявления у граждан в возрасте 65 лет и старше риска падений, жалоб, характерных для </w:t>
      </w:r>
      <w:proofErr w:type="spell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остеопороза</w:t>
      </w:r>
      <w:proofErr w:type="spellEnd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депрессии, сердечной недостаточности, </w:t>
      </w:r>
      <w:proofErr w:type="spell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некоррегированных</w:t>
      </w:r>
      <w:proofErr w:type="spellEnd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нарушений слуха и зрения;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измерение артериального давления на периферических артериях для граждан в возрасте 18 лет и старше 1 раз в год;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определение уровня глюкозы в крови натощак (допускается использование экспресс-метода) для граждан в возрасте 18 лет и старше 1 раз в год;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6) определение относительного </w:t>
      </w:r>
      <w:proofErr w:type="spellStart"/>
      <w:proofErr w:type="gram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сердечно-сосудистого</w:t>
      </w:r>
      <w:proofErr w:type="spellEnd"/>
      <w:proofErr w:type="gramEnd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риска у граждан в возрасте от 18 до 39 лет включительно 1 раз в год;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240" w:line="33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IV.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первого этапа диспансеризации в определенные возрастные периоды женщинам в возрасте 65 лет и старше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680A3B" w:rsidRPr="00680A3B" w:rsidTr="00680A3B">
        <w:trPr>
          <w:trHeight w:val="1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80A3B" w:rsidRPr="00680A3B" w:rsidTr="00680A3B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Осмотр,</w:t>
            </w:r>
          </w:p>
        </w:tc>
        <w:tc>
          <w:tcPr>
            <w:tcW w:w="18110" w:type="dxa"/>
            <w:gridSpan w:val="3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</w:tr>
      <w:tr w:rsidR="00680A3B" w:rsidRPr="00680A3B" w:rsidTr="00680A3B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исследование, ме</w:t>
            </w: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роприятие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680A3B" w:rsidRPr="00680A3B" w:rsidTr="00680A3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 </w:t>
            </w:r>
            <w:proofErr w:type="spellStart"/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</w:t>
            </w:r>
            <w:proofErr w:type="spellEnd"/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</w:t>
            </w:r>
            <w:proofErr w:type="spellEnd"/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(анкетирование)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80A3B" w:rsidRPr="00680A3B" w:rsidTr="00680A3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серизации</w:t>
            </w:r>
            <w:proofErr w:type="spellEnd"/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(1-й этап)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</w:t>
            </w:r>
            <w:proofErr w:type="spellEnd"/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</w:t>
            </w:r>
            <w:proofErr w:type="gramStart"/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</w:t>
            </w: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</w:t>
            </w:r>
            <w:proofErr w:type="spellEnd"/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Расчет на основании ан</w:t>
            </w: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тропометрии (измерение роста, массы тела, окружности</w:t>
            </w: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талии) индекса массы тела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80A3B" w:rsidRPr="00680A3B" w:rsidTr="00680A3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артериального да</w:t>
            </w: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вления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80A3B" w:rsidRPr="00680A3B" w:rsidTr="00680A3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80A3B" w:rsidRPr="00680A3B" w:rsidTr="00680A3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пределение уровня глюкозы в крови натощак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80A3B" w:rsidRPr="00680A3B" w:rsidTr="00680A3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</w:t>
            </w: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легких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A3B" w:rsidRPr="00680A3B" w:rsidTr="00680A3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 в покое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80A3B" w:rsidRPr="00680A3B" w:rsidTr="00680A3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внутриг</w:t>
            </w: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лазного давления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80A3B" w:rsidRPr="00680A3B" w:rsidTr="00680A3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(осмотр) по результатам профил</w:t>
            </w: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актического медицинского осмотра, в том числе осмотр</w:t>
            </w: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на выявление визуальных и иных локализаций онкологи</w:t>
            </w: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ческих заболеваний, включающий осмотр кожных покрово</w:t>
            </w: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в, слизистых губ и ротовой полости, пальпацию щитови</w:t>
            </w: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дной железы, лимфатических узлов, фельдшером фельдше</w:t>
            </w: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рского здравпункта или </w:t>
            </w:r>
            <w:proofErr w:type="spellStart"/>
            <w:proofErr w:type="gramStart"/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фельдшерско</w:t>
            </w:r>
            <w:proofErr w:type="spellEnd"/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акушерского</w:t>
            </w:r>
            <w:proofErr w:type="gramEnd"/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</w:t>
            </w: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та, врачом-терапевтом или врачом по медицинской проф</w:t>
            </w: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илактике отделения (кабинета) медицинской профилакти</w:t>
            </w: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 или центра здоровья (не проводится в случае, если</w:t>
            </w: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профилактический медицинский осмотр является частью</w:t>
            </w: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первого этапа диспансеризации)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80A3B" w:rsidRPr="00680A3B" w:rsidTr="00680A3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80A3B" w:rsidRPr="00680A3B" w:rsidTr="00680A3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</w:t>
            </w: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ледование кала на скрытую кровь иммунохимическим мет</w:t>
            </w: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одом (в случае если при обращении гражданина для про</w:t>
            </w: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хождения профилактического медицинского осмотра, дис</w:t>
            </w: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пансеризации установлено, что исследование не провод</w:t>
            </w: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илось ранее в сроки, рекомендованные в </w:t>
            </w:r>
            <w:hyperlink r:id="rId51" w:anchor="7DQ0K9" w:history="1">
              <w:r w:rsidRPr="00680A3B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пунктах 16</w:t>
              </w:r>
            </w:hyperlink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52" w:anchor="7E40KD" w:history="1">
              <w:r w:rsidRPr="00680A3B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17 настоящего порядка</w:t>
              </w:r>
            </w:hyperlink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 исследование проводится пр</w:t>
            </w: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обращении, график последующих исследований смещает</w:t>
            </w: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ся согласно рекомендуемой частоте проведения исследо</w:t>
            </w: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вания)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A3B" w:rsidRPr="00680A3B" w:rsidTr="00680A3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Маммография обеих молочных желез в двух проекц</w:t>
            </w: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иях (в случае если при обращении гражданина для прох</w:t>
            </w: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ождения профилактического медицинского осмотра, дисп</w:t>
            </w: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ансеризации установлено, что исследование не проводи</w:t>
            </w: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лось ранее в сроки, рекомендованные в </w:t>
            </w:r>
            <w:hyperlink r:id="rId53" w:anchor="7DQ0K9" w:history="1">
              <w:r w:rsidRPr="00680A3B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пунктах 16</w:t>
              </w:r>
            </w:hyperlink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54" w:anchor="7E40KD" w:history="1">
              <w:r w:rsidRPr="00680A3B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1</w:t>
              </w:r>
              <w:r w:rsidRPr="00680A3B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lastRenderedPageBreak/>
                <w:t>7 настоящего порядка</w:t>
              </w:r>
            </w:hyperlink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 исследование проводится при</w:t>
            </w: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обращении, график последующих исследований смещаетс</w:t>
            </w: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согласно рекомендуемой частоте проведения исследов</w:t>
            </w: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ания)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A3B" w:rsidRPr="00680A3B" w:rsidTr="00680A3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индивидуальное профилактическое консуль</w:t>
            </w: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тирование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A3B" w:rsidRPr="00680A3B" w:rsidTr="00680A3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фельдшером (акушеркой) или врачом ак</w:t>
            </w: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ушером-</w:t>
            </w: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гинекологом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80A3B" w:rsidRPr="00680A3B" w:rsidTr="00680A3B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(осмотр) врачом-терапевтом </w:t>
            </w: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результатам первого этапа диспансеризации, в том </w:t>
            </w: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осмотр на выявление визуальных и иных локализа</w:t>
            </w: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ций онкологических заболеваний, включающий осмотр ко</w:t>
            </w: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жных покровов, слизистых губ и ротовой полости, паль</w:t>
            </w: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пацию щитовидной железы, лимфатических узлов, с цель</w:t>
            </w: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 установления диагноза, определения группы здоровья</w:t>
            </w: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 группы диспансерного наблюдения, определения медиц</w:t>
            </w: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инских показаний для осмотров (консультаций) и обсле</w:t>
            </w: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дований в рамках второго этапа диспансеризации</w:t>
            </w:r>
            <w:proofErr w:type="gramEnd"/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3B" w:rsidRPr="00680A3B" w:rsidRDefault="00680A3B" w:rsidP="00680A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680A3B" w:rsidRPr="00680A3B" w:rsidRDefault="00680A3B" w:rsidP="00680A3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     </w:t>
      </w:r>
    </w:p>
    <w:p w:rsidR="00680A3B" w:rsidRPr="00680A3B" w:rsidRDefault="00680A3B" w:rsidP="00680A3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680A3B" w:rsidRPr="00680A3B" w:rsidRDefault="00680A3B" w:rsidP="00680A3B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     Приложение N 2</w:t>
      </w:r>
      <w:r w:rsidRPr="00680A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порядку проведения профилактического</w:t>
      </w:r>
      <w:r w:rsidRPr="00680A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медицинского осмотра и диспансеризации</w:t>
      </w:r>
      <w:r w:rsidRPr="00680A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80A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определенных гру</w:t>
      </w:r>
      <w:proofErr w:type="gramStart"/>
      <w:r w:rsidRPr="00680A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пп взр</w:t>
      </w:r>
      <w:proofErr w:type="gramEnd"/>
      <w:r w:rsidRPr="00680A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ослого населения,</w:t>
      </w:r>
      <w:r w:rsidRPr="00680A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утвержденному приказом Министерства</w:t>
      </w:r>
      <w:r w:rsidRPr="00680A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здравоохранения Российской Федерации</w:t>
      </w:r>
      <w:r w:rsidRPr="00680A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27 апреля 2021 года N 404н</w:t>
      </w:r>
    </w:p>
    <w:p w:rsidR="00680A3B" w:rsidRPr="00680A3B" w:rsidRDefault="00680A3B" w:rsidP="00680A3B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</w:p>
    <w:p w:rsidR="00680A3B" w:rsidRPr="00680A3B" w:rsidRDefault="00680A3B" w:rsidP="00680A3B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Перечень мероприятий скрининга и методов исследований, направленных на раннее выявление онкологических заболеваний</w:t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В рамках профилактического медицинского осмотра или первого этапа диспансеризации проводятся: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скрининг на выявление злокачественных новообразований шейки матки (у женщин):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возрасте 18 лет и старше - осмотр фельдшером (акушеркой) или врачом акушером-гинекологом 1 раз в год;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возрасте от 18 до 64 лет включительно - взятие мазка с шейки матки, цитологическое исследование мазка с шейки матки 1 раз в 3 года (за исключением случаев невозможности проведения исследования по медицинским показаниям в связи с экстирпацией матки, </w:t>
      </w:r>
      <w:proofErr w:type="spell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virgo</w:t>
      </w:r>
      <w:proofErr w:type="spellEnd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proofErr w:type="gramEnd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Цитологическое исследование мазка (соскоба) с шейки матки проводится при его окрашивании по </w:t>
      </w:r>
      <w:proofErr w:type="spell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Папаниколау</w:t>
      </w:r>
      <w:proofErr w:type="spellEnd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(другие способы окраски не допускаются). </w:t>
      </w:r>
      <w:proofErr w:type="gram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Цитологическое исследование мазка (соскоба) с шейки матки может проводиться по медицинским показаниям без учета установленной периодичности);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скрининг на выявление злокачественных новообразований молочных желез (у женщин):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возрасте от 40 до 75 лет включительно - маммография обеих молочных желез в двух проекциях с двойным прочтением рентгенограмм 1 раз в 2 года (за исключением случаев невозможности проведения исследования по медицинским показаниям в связи с </w:t>
      </w:r>
      <w:proofErr w:type="spell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мастэктомией</w:t>
      </w:r>
      <w:proofErr w:type="spellEnd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proofErr w:type="gramEnd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Маммография не проводится, если в течение предшествующих 12 месяцев проводилась маммография или компьютерная томография молочных желез);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скрининг на выявление злокачественных новообразований предстательной железы (у мужчин):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в возрасте 45, 50, 55, 60 и 64 лет - определение </w:t>
      </w:r>
      <w:proofErr w:type="spellStart"/>
      <w:proofErr w:type="gram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простат-специфического</w:t>
      </w:r>
      <w:proofErr w:type="spellEnd"/>
      <w:proofErr w:type="gramEnd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антигена в крови;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скрининг на выявление злокачественных новообразований толстого кишечника и прямой кишки: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возрасте от 40 до 64 лет включительно - исследование кала на скрытую кровь иммунохимическим качественным или количественным методом раз в 2 года (к иммунохимическим методам исследования относятся все качественные и количественные методы исследования, в которых используется иммунохимическая реакция антиген-антитело);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возрасте от 65 до 75 лет включительно - исследование кала на скрытую кровь иммунохимическим качественным или количественным методом 1 раз в год;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</w:t>
      </w:r>
      <w:proofErr w:type="spellEnd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е) скрининг на выявление злокачественных новообразований пищевода, желудка и двенадцатиперстной кишки: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возрасте 45 лет - </w:t>
      </w:r>
      <w:proofErr w:type="spell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эзофагогастродуоденоскопия</w:t>
      </w:r>
      <w:proofErr w:type="spellEnd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На втором этапе диспансеризации с целью дополнительного обследования и уточнения диагноза заболевания (состояния) при наличии медицинских показаний в соответствии с клиническими рекомендациями по назначению врача-терапевта, </w:t>
      </w:r>
      <w:proofErr w:type="spell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врача-дерматовенеролога</w:t>
      </w:r>
      <w:proofErr w:type="spellEnd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врача-хирурга или </w:t>
      </w:r>
      <w:proofErr w:type="spell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врача-колопроктолога</w:t>
      </w:r>
      <w:proofErr w:type="spellEnd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проводятся: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исследования на выявление злокачественных новообразований легкого: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рентгенография легких или компьютерная томография легких;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исследования на выявление злокачественных новообразований пищевода, желудка и двенадцатиперстной кишки: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эзофагогастродуоденоскопия</w:t>
      </w:r>
      <w:proofErr w:type="spellEnd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условиях дневного стационара);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исследования на выявление злокачественных новообразований толстого кишечника и прямой кишки: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ректороманоскопия</w:t>
      </w:r>
      <w:proofErr w:type="spellEnd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колоноскопия</w:t>
      </w:r>
      <w:proofErr w:type="spellEnd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исследование на выявление злокачественных новообразований кожи и (или) слизистых оболочек: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осмотр кожи под увеличением (</w:t>
      </w:r>
      <w:proofErr w:type="spell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дерматоскопия</w:t>
      </w:r>
      <w:proofErr w:type="spellEnd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N 3</w:t>
      </w:r>
      <w:r w:rsidRPr="00680A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порядку проведения профилактического</w:t>
      </w:r>
      <w:r w:rsidRPr="00680A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медицинского осмотра и диспансеризации</w:t>
      </w:r>
      <w:r w:rsidRPr="00680A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определенных гру</w:t>
      </w:r>
      <w:proofErr w:type="gramStart"/>
      <w:r w:rsidRPr="00680A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пп взр</w:t>
      </w:r>
      <w:proofErr w:type="gramEnd"/>
      <w:r w:rsidRPr="00680A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ослого населения,</w:t>
      </w:r>
      <w:r w:rsidRPr="00680A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утвержденному приказом Министерства</w:t>
      </w:r>
      <w:r w:rsidRPr="00680A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здравоохранения Российской Федерации</w:t>
      </w:r>
      <w:r w:rsidRPr="00680A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27 апреля 2021 года N 404н</w:t>
      </w:r>
    </w:p>
    <w:p w:rsidR="00680A3B" w:rsidRPr="00680A3B" w:rsidRDefault="00680A3B" w:rsidP="00680A3B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</w:p>
    <w:p w:rsidR="00680A3B" w:rsidRPr="00680A3B" w:rsidRDefault="00680A3B" w:rsidP="00680A3B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Диагностические критерии факторов риска и других патологических состояний и заболеваний, повышающих вероятность развития хронических неинфекционных заболеваний</w:t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Повышенный уровень артериального давления - систолическое артериальное давление равно или выше 140 мм </w:t>
      </w:r>
      <w:proofErr w:type="spell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рт.ст</w:t>
      </w:r>
      <w:proofErr w:type="spellEnd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., </w:t>
      </w:r>
      <w:proofErr w:type="spell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диастолическое</w:t>
      </w:r>
      <w:proofErr w:type="spellEnd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артериальное давление равно или выше 90 мм </w:t>
      </w:r>
      <w:proofErr w:type="spell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рт.ст</w:t>
      </w:r>
      <w:proofErr w:type="spellEnd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 </w:t>
      </w:r>
      <w:hyperlink r:id="rId55" w:anchor="7D20K3" w:history="1">
        <w:r w:rsidRPr="00680A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МКБ-10</w:t>
        </w:r>
      </w:hyperlink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49" type="#_x0000_t75" alt="" style="width:12pt;height:17.25pt"/>
        </w:pic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кодами I10-I15), а также граждане с повышенным артериальным давлением при отсутствии диагноза гипертонической болезни или симптоматической артериальной</w:t>
      </w:r>
      <w:proofErr w:type="gramEnd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гипертензии (кодируется по </w:t>
      </w:r>
      <w:hyperlink r:id="rId56" w:anchor="7D20K3" w:history="1">
        <w:r w:rsidRPr="00680A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МКБ-10</w:t>
        </w:r>
      </w:hyperlink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кодом R03.0).</w:t>
      </w:r>
    </w:p>
    <w:p w:rsidR="00680A3B" w:rsidRPr="00680A3B" w:rsidRDefault="00680A3B" w:rsidP="00680A3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50" type="#_x0000_t75" alt="" style="width:12pt;height:17.25pt"/>
        </w:pic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Международная статистическая классификация болезней и проблем, связанных со здоровьем, 10-го пересмотра.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Гиперхолестеринемия</w:t>
      </w:r>
      <w:proofErr w:type="spellEnd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уровень общего холестерина 5 </w:t>
      </w:r>
      <w:proofErr w:type="spell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ммоль</w:t>
      </w:r>
      <w:proofErr w:type="spellEnd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/л и более (кодируется по </w:t>
      </w:r>
      <w:hyperlink r:id="rId57" w:anchor="7D20K3" w:history="1">
        <w:r w:rsidRPr="00680A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МКБ-10</w:t>
        </w:r>
      </w:hyperlink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кодом Е78).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Гипергликемия - уровень глюкозы натощак в венозной плазме 6,1 </w:t>
      </w:r>
      <w:proofErr w:type="spell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ммоль</w:t>
      </w:r>
      <w:proofErr w:type="spellEnd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/л и более, в цельной капиллярной крови 5,6 </w:t>
      </w:r>
      <w:proofErr w:type="spell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ммоль</w:t>
      </w:r>
      <w:proofErr w:type="spellEnd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/л и более (кодируется по </w:t>
      </w:r>
      <w:hyperlink r:id="rId58" w:anchor="7D20K3" w:history="1">
        <w:r w:rsidRPr="00680A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МКБ-10</w:t>
        </w:r>
      </w:hyperlink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кодом R73.9) либо наличие сахарного диабета, в том числе в случае, если в результате эффективной терапии достигнута </w:t>
      </w:r>
      <w:proofErr w:type="spell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нормогликемия</w:t>
      </w:r>
      <w:proofErr w:type="spellEnd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Курение табака - ежедневное выкуривание одной сигареты и более (кодируется по </w:t>
      </w:r>
      <w:hyperlink r:id="rId59" w:anchor="7D20K3" w:history="1">
        <w:r w:rsidRPr="00680A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МКБ-10</w:t>
        </w:r>
      </w:hyperlink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кодом Z72.0).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Нерациональное питание - избыточное потребление пищи, жиров, углеводов, потребление поваренной соли более 5 граммов в сутки, недостаточное потребление фруктов, овощей, рыбы. Определяется с помощью опроса (анкетирования) граждан, предусмотренного порядком проведения профилактического медицинского осмотра и диспансеризации, утвержденным настоящим приказом (далее - анкетирование) (кодируется по </w:t>
      </w:r>
      <w:hyperlink r:id="rId60" w:anchor="7D20K3" w:history="1">
        <w:r w:rsidRPr="00680A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МКБ-10</w:t>
        </w:r>
      </w:hyperlink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кодом Z72.4).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Избыточная масса тела - индекс массы тела 25-29,9 кг/м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51" type="#_x0000_t75" alt="" style="width:8.25pt;height:17.25pt"/>
        </w:pic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(кодируется по </w:t>
      </w:r>
      <w:hyperlink r:id="rId61" w:anchor="7D20K3" w:history="1">
        <w:r w:rsidRPr="00680A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МКБ-10</w:t>
        </w:r>
      </w:hyperlink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кодом R63.5).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Ожирение - индекс массы тела 30 кг/м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52" type="#_x0000_t75" alt="" style="width:8.25pt;height:17.25pt"/>
        </w:pic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 более (кодируется по </w:t>
      </w:r>
      <w:hyperlink r:id="rId62" w:anchor="7D20K3" w:history="1">
        <w:r w:rsidRPr="00680A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МКБ-10</w:t>
        </w:r>
      </w:hyperlink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кодом Е66).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Низкая физическая активность (кодируется по </w:t>
      </w:r>
      <w:hyperlink r:id="rId63" w:anchor="7D20K3" w:history="1">
        <w:r w:rsidRPr="00680A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МКБ-10</w:t>
        </w:r>
      </w:hyperlink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кодом Z72.3) определяется с помощью анкетирования.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Риск пагубного потребления алкоголя (кодируется по </w:t>
      </w:r>
      <w:hyperlink r:id="rId64" w:anchor="7D20K3" w:history="1">
        <w:r w:rsidRPr="00680A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МКБ-10</w:t>
        </w:r>
      </w:hyperlink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кодом Z72.1) и риск потребления наркотических средств и психотропных веществ без назначения врача (кодируется по </w:t>
      </w:r>
      <w:hyperlink r:id="rId65" w:anchor="7D20K3" w:history="1">
        <w:r w:rsidRPr="00680A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МКБ-10</w:t>
        </w:r>
      </w:hyperlink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кодом Z72.2) определяются с помощью анкетирования.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Отягощенная наследственность по </w:t>
      </w:r>
      <w:proofErr w:type="spellStart"/>
      <w:proofErr w:type="gram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сердечно-сосудистым</w:t>
      </w:r>
      <w:proofErr w:type="spellEnd"/>
      <w:proofErr w:type="gramEnd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заболеваниям - наличие инфаркта миокарда (кодируется по </w:t>
      </w:r>
      <w:hyperlink r:id="rId66" w:anchor="7D20K3" w:history="1">
        <w:r w:rsidRPr="00680A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МКБ-10</w:t>
        </w:r>
      </w:hyperlink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кодом Z82.4) и (или) мозгового инсульта (кодируется по </w:t>
      </w:r>
      <w:hyperlink r:id="rId67" w:anchor="7D20K3" w:history="1">
        <w:r w:rsidRPr="00680A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МКБ-10</w:t>
        </w:r>
      </w:hyperlink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кодом Z82.3) у близких родственников (матери или родных сестер в возрасте до 65 лет или у отца, родных братьев в возрасте до 55 лет).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Отягощенная наследственность по злокачественным новообразованиям (кодируется по </w:t>
      </w:r>
      <w:hyperlink r:id="rId68" w:anchor="7D20K3" w:history="1">
        <w:r w:rsidRPr="00680A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МКБ-10</w:t>
        </w:r>
      </w:hyperlink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кодом Z80):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колоректальной</w:t>
      </w:r>
      <w:proofErr w:type="spellEnd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области - наличие злокачественных новообразований </w:t>
      </w:r>
      <w:proofErr w:type="spell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колоректальной</w:t>
      </w:r>
      <w:proofErr w:type="spellEnd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области и (или) </w:t>
      </w:r>
      <w:proofErr w:type="gram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семейного</w:t>
      </w:r>
      <w:proofErr w:type="gramEnd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аденоматоза</w:t>
      </w:r>
      <w:proofErr w:type="spellEnd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 близких родственников в молодом или среднем возрасте или в нескольких поколениях;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других локализаций - наличие злокачественных новообразований у близких родственников в молодом или среднем возрасте, или в нескольких поколениях.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Отягощенная наследственность по хроническим болезням нижних дыхательных путей - наличие астмы и других хронических болезней нижних дыхательных путей у близких родственников в молодом или среднем возрасте (кодируется по </w:t>
      </w:r>
      <w:hyperlink r:id="rId69" w:anchor="7D20K3" w:history="1">
        <w:r w:rsidRPr="00680A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МКБ-10</w:t>
        </w:r>
      </w:hyperlink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кодом Z82.5).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Отягощенная наследственность по сахарному диабету - наличие у близких родственников сахарного диабета в молодом или среднем возрасте (кодируется по </w:t>
      </w:r>
      <w:hyperlink r:id="rId70" w:anchor="7D20K3" w:history="1">
        <w:r w:rsidRPr="00680A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МКБ-10</w:t>
        </w:r>
      </w:hyperlink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кодом Z83.3).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Абсолютный </w:t>
      </w:r>
      <w:proofErr w:type="spellStart"/>
      <w:proofErr w:type="gram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сердечно-сосудистый</w:t>
      </w:r>
      <w:proofErr w:type="spellEnd"/>
      <w:proofErr w:type="gramEnd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риск устанавливается у граждан в возрасте от 40 до 64 лет при отсутствии у гражданина выявленных заболеваний, связанных с атеросклерозом, при этом высокому </w:t>
      </w:r>
      <w:proofErr w:type="spell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сердечно-сосудистому</w:t>
      </w:r>
      <w:proofErr w:type="spellEnd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риску соответствуют значения от 5% до 10%, установленные по шкале SCORE, очень высокому - 10% и более. У граждан в возрасте старше 65 лет и/или у граждан, имеющих </w:t>
      </w:r>
      <w:proofErr w:type="spellStart"/>
      <w:proofErr w:type="gram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сердечно-сосудистые</w:t>
      </w:r>
      <w:proofErr w:type="spellEnd"/>
      <w:proofErr w:type="gramEnd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заболевания, сахарный диабет второго типа и/или хроническое заболевание почек, уровень абсолютного </w:t>
      </w:r>
      <w:proofErr w:type="spell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сердечно-сосудистого</w:t>
      </w:r>
      <w:proofErr w:type="spellEnd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риска является очень высоким и по шкале </w:t>
      </w:r>
      <w:proofErr w:type="spell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сердечно-сосудистого</w:t>
      </w:r>
      <w:proofErr w:type="spellEnd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риска не рассчитывается.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Относительный </w:t>
      </w:r>
      <w:proofErr w:type="spellStart"/>
      <w:proofErr w:type="gram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сердечно-сосудистый</w:t>
      </w:r>
      <w:proofErr w:type="spellEnd"/>
      <w:proofErr w:type="gramEnd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риск устанавливается по дополнительной шкале SCORE у граждан в возрасте от 21 до 39 лет включительно, при этом высокому относительному </w:t>
      </w:r>
      <w:proofErr w:type="spell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сердечно-сосудистому</w:t>
      </w:r>
      <w:proofErr w:type="spellEnd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риску соответствуют значения более 1.</w:t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80A3B" w:rsidRPr="00680A3B" w:rsidRDefault="00680A3B" w:rsidP="00680A3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Старческая астения (кодируется по </w:t>
      </w:r>
      <w:hyperlink r:id="rId71" w:anchor="7D20K3" w:history="1">
        <w:r w:rsidRPr="00680A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МКБ-10</w:t>
        </w:r>
      </w:hyperlink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кодом R54) - ассоциированный с возрастом синдром, основными клиническими проявлениями которого являются медлительность и/или непреднамеренная потеря веса, общая слабость. Включает более 85 различных </w:t>
      </w:r>
      <w:proofErr w:type="spell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гериатрических</w:t>
      </w:r>
      <w:proofErr w:type="spellEnd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синдромов, основными из которых являются синдромы падений, </w:t>
      </w:r>
      <w:proofErr w:type="spell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мальнутриции</w:t>
      </w:r>
      <w:proofErr w:type="spellEnd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(недостаточности питания), </w:t>
      </w:r>
      <w:proofErr w:type="spellStart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саркопении</w:t>
      </w:r>
      <w:proofErr w:type="spellEnd"/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(уменьшение массы мышечной ткани и мышечной силы), недержания мочи, сенсорные дефициты, когнитивные нарушения, депрессия. Определяется в рамках профилактического медицинского осмотра с помощью анкетирования у граждан 65 лет и старше, включающего вопросник "Возраст не помеха".</w:t>
      </w:r>
    </w:p>
    <w:p w:rsidR="00680A3B" w:rsidRPr="00680A3B" w:rsidRDefault="00680A3B" w:rsidP="00680A3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br/>
      </w:r>
      <w:r w:rsidRPr="00680A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26C5C" w:rsidRDefault="00526C5C"/>
    <w:sectPr w:rsidR="00526C5C" w:rsidSect="0052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A3B"/>
    <w:rsid w:val="00526C5C"/>
    <w:rsid w:val="0068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5C"/>
  </w:style>
  <w:style w:type="paragraph" w:styleId="2">
    <w:name w:val="heading 2"/>
    <w:basedOn w:val="a"/>
    <w:link w:val="20"/>
    <w:uiPriority w:val="9"/>
    <w:qFormat/>
    <w:rsid w:val="00680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80A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80A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0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0A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0A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68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80A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0A3B"/>
    <w:rPr>
      <w:color w:val="800080"/>
      <w:u w:val="single"/>
    </w:rPr>
  </w:style>
  <w:style w:type="paragraph" w:customStyle="1" w:styleId="formattext">
    <w:name w:val="formattext"/>
    <w:basedOn w:val="a"/>
    <w:rsid w:val="0068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8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4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7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70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83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38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274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92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1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495658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24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8" w:color="EBEBEB"/>
                                                                    <w:left w:val="none" w:sz="0" w:space="15" w:color="auto"/>
                                                                    <w:bottom w:val="single" w:sz="6" w:space="8" w:color="EBEBEB"/>
                                                                    <w:right w:val="none" w:sz="0" w:space="8" w:color="auto"/>
                                                                  </w:divBdr>
                                                                </w:div>
                                                                <w:div w:id="1859349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604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14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5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056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799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225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905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9010197" TargetMode="External"/><Relationship Id="rId18" Type="http://schemas.openxmlformats.org/officeDocument/2006/relationships/hyperlink" Target="https://docs.cntd.ru/document/607124051" TargetMode="External"/><Relationship Id="rId26" Type="http://schemas.openxmlformats.org/officeDocument/2006/relationships/hyperlink" Target="https://docs.cntd.ru/document/554023464" TargetMode="External"/><Relationship Id="rId39" Type="http://schemas.openxmlformats.org/officeDocument/2006/relationships/hyperlink" Target="https://docs.cntd.ru/document/573191386" TargetMode="External"/><Relationship Id="rId21" Type="http://schemas.openxmlformats.org/officeDocument/2006/relationships/hyperlink" Target="https://docs.cntd.ru/document/902342781" TargetMode="External"/><Relationship Id="rId34" Type="http://schemas.openxmlformats.org/officeDocument/2006/relationships/hyperlink" Target="https://docs.cntd.ru/document/607124051" TargetMode="External"/><Relationship Id="rId42" Type="http://schemas.openxmlformats.org/officeDocument/2006/relationships/hyperlink" Target="https://docs.cntd.ru/document/607124051" TargetMode="External"/><Relationship Id="rId47" Type="http://schemas.openxmlformats.org/officeDocument/2006/relationships/hyperlink" Target="https://docs.cntd.ru/document/607124051" TargetMode="External"/><Relationship Id="rId50" Type="http://schemas.openxmlformats.org/officeDocument/2006/relationships/hyperlink" Target="https://docs.cntd.ru/document/9036485" TargetMode="External"/><Relationship Id="rId55" Type="http://schemas.openxmlformats.org/officeDocument/2006/relationships/hyperlink" Target="https://docs.cntd.ru/document/902286265" TargetMode="External"/><Relationship Id="rId63" Type="http://schemas.openxmlformats.org/officeDocument/2006/relationships/hyperlink" Target="https://docs.cntd.ru/document/902286265" TargetMode="External"/><Relationship Id="rId68" Type="http://schemas.openxmlformats.org/officeDocument/2006/relationships/hyperlink" Target="https://docs.cntd.ru/document/902286265" TargetMode="External"/><Relationship Id="rId7" Type="http://schemas.openxmlformats.org/officeDocument/2006/relationships/hyperlink" Target="https://docs.cntd.ru/document/554018402" TargetMode="External"/><Relationship Id="rId71" Type="http://schemas.openxmlformats.org/officeDocument/2006/relationships/hyperlink" Target="https://docs.cntd.ru/document/90228626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901807664" TargetMode="External"/><Relationship Id="rId29" Type="http://schemas.openxmlformats.org/officeDocument/2006/relationships/hyperlink" Target="https://docs.cntd.ru/document/565985548" TargetMode="External"/><Relationship Id="rId11" Type="http://schemas.openxmlformats.org/officeDocument/2006/relationships/hyperlink" Target="https://docs.cntd.ru/document/9010197" TargetMode="External"/><Relationship Id="rId24" Type="http://schemas.openxmlformats.org/officeDocument/2006/relationships/hyperlink" Target="https://docs.cntd.ru/document/566212790" TargetMode="External"/><Relationship Id="rId32" Type="http://schemas.openxmlformats.org/officeDocument/2006/relationships/hyperlink" Target="https://docs.cntd.ru/document/902339307" TargetMode="External"/><Relationship Id="rId37" Type="http://schemas.openxmlformats.org/officeDocument/2006/relationships/hyperlink" Target="https://docs.cntd.ru/document/607124051" TargetMode="External"/><Relationship Id="rId40" Type="http://schemas.openxmlformats.org/officeDocument/2006/relationships/hyperlink" Target="https://docs.cntd.ru/document/9036485" TargetMode="External"/><Relationship Id="rId45" Type="http://schemas.openxmlformats.org/officeDocument/2006/relationships/hyperlink" Target="https://docs.cntd.ru/document/9036485" TargetMode="External"/><Relationship Id="rId53" Type="http://schemas.openxmlformats.org/officeDocument/2006/relationships/hyperlink" Target="https://docs.cntd.ru/document/607124051" TargetMode="External"/><Relationship Id="rId58" Type="http://schemas.openxmlformats.org/officeDocument/2006/relationships/hyperlink" Target="https://docs.cntd.ru/document/902286265" TargetMode="External"/><Relationship Id="rId66" Type="http://schemas.openxmlformats.org/officeDocument/2006/relationships/hyperlink" Target="https://docs.cntd.ru/document/902286265" TargetMode="External"/><Relationship Id="rId5" Type="http://schemas.openxmlformats.org/officeDocument/2006/relationships/hyperlink" Target="https://docs.cntd.ru/document/902312609" TargetMode="External"/><Relationship Id="rId15" Type="http://schemas.openxmlformats.org/officeDocument/2006/relationships/hyperlink" Target="https://docs.cntd.ru/document/901907297" TargetMode="External"/><Relationship Id="rId23" Type="http://schemas.openxmlformats.org/officeDocument/2006/relationships/hyperlink" Target="https://docs.cntd.ru/document/566212790" TargetMode="External"/><Relationship Id="rId28" Type="http://schemas.openxmlformats.org/officeDocument/2006/relationships/hyperlink" Target="https://docs.cntd.ru/document/564652902" TargetMode="External"/><Relationship Id="rId36" Type="http://schemas.openxmlformats.org/officeDocument/2006/relationships/hyperlink" Target="https://docs.cntd.ru/document/607124051" TargetMode="External"/><Relationship Id="rId49" Type="http://schemas.openxmlformats.org/officeDocument/2006/relationships/hyperlink" Target="https://docs.cntd.ru/document/573191386" TargetMode="External"/><Relationship Id="rId57" Type="http://schemas.openxmlformats.org/officeDocument/2006/relationships/hyperlink" Target="https://docs.cntd.ru/document/902286265" TargetMode="External"/><Relationship Id="rId61" Type="http://schemas.openxmlformats.org/officeDocument/2006/relationships/hyperlink" Target="https://docs.cntd.ru/document/902286265" TargetMode="External"/><Relationship Id="rId10" Type="http://schemas.openxmlformats.org/officeDocument/2006/relationships/hyperlink" Target="https://docs.cntd.ru/document/902312609" TargetMode="External"/><Relationship Id="rId19" Type="http://schemas.openxmlformats.org/officeDocument/2006/relationships/hyperlink" Target="https://docs.cntd.ru/document/607124051" TargetMode="External"/><Relationship Id="rId31" Type="http://schemas.openxmlformats.org/officeDocument/2006/relationships/hyperlink" Target="https://docs.cntd.ru/document/603368018" TargetMode="External"/><Relationship Id="rId44" Type="http://schemas.openxmlformats.org/officeDocument/2006/relationships/hyperlink" Target="https://docs.cntd.ru/document/607124051" TargetMode="External"/><Relationship Id="rId52" Type="http://schemas.openxmlformats.org/officeDocument/2006/relationships/hyperlink" Target="https://docs.cntd.ru/document/607124051" TargetMode="External"/><Relationship Id="rId60" Type="http://schemas.openxmlformats.org/officeDocument/2006/relationships/hyperlink" Target="https://docs.cntd.ru/document/902286265" TargetMode="External"/><Relationship Id="rId65" Type="http://schemas.openxmlformats.org/officeDocument/2006/relationships/hyperlink" Target="https://docs.cntd.ru/document/902286265" TargetMode="External"/><Relationship Id="rId73" Type="http://schemas.openxmlformats.org/officeDocument/2006/relationships/theme" Target="theme/theme1.xml"/><Relationship Id="rId4" Type="http://schemas.openxmlformats.org/officeDocument/2006/relationships/hyperlink" Target="https://docs.cntd.ru/document/607124051" TargetMode="External"/><Relationship Id="rId9" Type="http://schemas.openxmlformats.org/officeDocument/2006/relationships/hyperlink" Target="https://docs.cntd.ru/document/573161167" TargetMode="External"/><Relationship Id="rId14" Type="http://schemas.openxmlformats.org/officeDocument/2006/relationships/hyperlink" Target="https://docs.cntd.ru/document/9010197" TargetMode="External"/><Relationship Id="rId22" Type="http://schemas.openxmlformats.org/officeDocument/2006/relationships/hyperlink" Target="https://docs.cntd.ru/document/901744603" TargetMode="External"/><Relationship Id="rId27" Type="http://schemas.openxmlformats.org/officeDocument/2006/relationships/hyperlink" Target="https://docs.cntd.ru/document/554023464" TargetMode="External"/><Relationship Id="rId30" Type="http://schemas.openxmlformats.org/officeDocument/2006/relationships/hyperlink" Target="https://docs.cntd.ru/document/573909842" TargetMode="External"/><Relationship Id="rId35" Type="http://schemas.openxmlformats.org/officeDocument/2006/relationships/hyperlink" Target="https://docs.cntd.ru/document/607124051" TargetMode="External"/><Relationship Id="rId43" Type="http://schemas.openxmlformats.org/officeDocument/2006/relationships/hyperlink" Target="https://docs.cntd.ru/document/607124051" TargetMode="External"/><Relationship Id="rId48" Type="http://schemas.openxmlformats.org/officeDocument/2006/relationships/hyperlink" Target="https://docs.cntd.ru/document/607124051" TargetMode="External"/><Relationship Id="rId56" Type="http://schemas.openxmlformats.org/officeDocument/2006/relationships/hyperlink" Target="https://docs.cntd.ru/document/902286265" TargetMode="External"/><Relationship Id="rId64" Type="http://schemas.openxmlformats.org/officeDocument/2006/relationships/hyperlink" Target="https://docs.cntd.ru/document/902286265" TargetMode="External"/><Relationship Id="rId69" Type="http://schemas.openxmlformats.org/officeDocument/2006/relationships/hyperlink" Target="https://docs.cntd.ru/document/902286265" TargetMode="External"/><Relationship Id="rId8" Type="http://schemas.openxmlformats.org/officeDocument/2006/relationships/hyperlink" Target="https://docs.cntd.ru/document/561232588" TargetMode="External"/><Relationship Id="rId51" Type="http://schemas.openxmlformats.org/officeDocument/2006/relationships/hyperlink" Target="https://docs.cntd.ru/document/607124051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9010197" TargetMode="External"/><Relationship Id="rId17" Type="http://schemas.openxmlformats.org/officeDocument/2006/relationships/hyperlink" Target="https://docs.cntd.ru/document/607124051" TargetMode="External"/><Relationship Id="rId25" Type="http://schemas.openxmlformats.org/officeDocument/2006/relationships/hyperlink" Target="https://docs.cntd.ru/document/902312609" TargetMode="External"/><Relationship Id="rId33" Type="http://schemas.openxmlformats.org/officeDocument/2006/relationships/hyperlink" Target="https://docs.cntd.ru/document/542611776" TargetMode="External"/><Relationship Id="rId38" Type="http://schemas.openxmlformats.org/officeDocument/2006/relationships/hyperlink" Target="https://docs.cntd.ru/document/573191386" TargetMode="External"/><Relationship Id="rId46" Type="http://schemas.openxmlformats.org/officeDocument/2006/relationships/hyperlink" Target="https://docs.cntd.ru/document/607124051" TargetMode="External"/><Relationship Id="rId59" Type="http://schemas.openxmlformats.org/officeDocument/2006/relationships/hyperlink" Target="https://docs.cntd.ru/document/902286265" TargetMode="External"/><Relationship Id="rId67" Type="http://schemas.openxmlformats.org/officeDocument/2006/relationships/hyperlink" Target="https://docs.cntd.ru/document/902286265" TargetMode="External"/><Relationship Id="rId20" Type="http://schemas.openxmlformats.org/officeDocument/2006/relationships/hyperlink" Target="https://docs.cntd.ru/document/902312609" TargetMode="External"/><Relationship Id="rId41" Type="http://schemas.openxmlformats.org/officeDocument/2006/relationships/hyperlink" Target="https://docs.cntd.ru/document/607124051" TargetMode="External"/><Relationship Id="rId54" Type="http://schemas.openxmlformats.org/officeDocument/2006/relationships/hyperlink" Target="https://docs.cntd.ru/document/607124051" TargetMode="External"/><Relationship Id="rId62" Type="http://schemas.openxmlformats.org/officeDocument/2006/relationships/hyperlink" Target="https://docs.cntd.ru/document/902286265" TargetMode="External"/><Relationship Id="rId70" Type="http://schemas.openxmlformats.org/officeDocument/2006/relationships/hyperlink" Target="https://docs.cntd.ru/document/902286265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6071240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8142</Words>
  <Characters>46413</Characters>
  <Application>Microsoft Office Word</Application>
  <DocSecurity>0</DocSecurity>
  <Lines>386</Lines>
  <Paragraphs>108</Paragraphs>
  <ScaleCrop>false</ScaleCrop>
  <Company/>
  <LinksUpToDate>false</LinksUpToDate>
  <CharactersWithSpaces>54447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k35</dc:creator>
  <cp:lastModifiedBy>k35</cp:lastModifiedBy>
  <cp:revision>1</cp:revision>
  <dcterms:created xsi:type="dcterms:W3CDTF">2022-09-13T08:08:00Z</dcterms:created>
  <dcterms:modified xsi:type="dcterms:W3CDTF">2022-09-13T08:09:00Z</dcterms:modified>
</cp:coreProperties>
</file>